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4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38"/>
        <w:gridCol w:w="3867"/>
        <w:gridCol w:w="27"/>
        <w:gridCol w:w="90"/>
        <w:gridCol w:w="4222"/>
      </w:tblGrid>
      <w:tr w:rsidR="0026225C" w:rsidRPr="00EF4BEF">
        <w:trPr>
          <w:trHeight w:val="451"/>
        </w:trPr>
        <w:tc>
          <w:tcPr>
            <w:tcW w:w="93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:rsidR="0026225C" w:rsidRPr="00EF4BEF" w:rsidRDefault="0026225C" w:rsidP="00B56D79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EF4BEF">
              <w:rPr>
                <w:rFonts w:ascii="Calibri" w:hAnsi="Calibri" w:cs="Calibri"/>
                <w:b/>
                <w:bCs/>
                <w:sz w:val="22"/>
                <w:szCs w:val="22"/>
              </w:rPr>
              <w:t>Technické specifikace: Galaxy S23 a Galaxy S23+</w:t>
            </w:r>
          </w:p>
        </w:tc>
      </w:tr>
      <w:tr w:rsidR="0026225C" w:rsidRPr="00EF4BEF">
        <w:tc>
          <w:tcPr>
            <w:tcW w:w="11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7F7F7F"/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EF4B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Galaxy S23</w:t>
            </w:r>
          </w:p>
        </w:tc>
        <w:tc>
          <w:tcPr>
            <w:tcW w:w="43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7F7F7F"/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EF4BE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Galaxy S23+</w:t>
            </w:r>
          </w:p>
        </w:tc>
      </w:tr>
      <w:tr w:rsidR="0026225C" w:rsidRPr="00EF4BEF">
        <w:trPr>
          <w:trHeight w:val="1330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b/>
                <w:bCs/>
                <w:sz w:val="18"/>
                <w:szCs w:val="18"/>
                <w:lang w:eastAsia="ko-KR"/>
              </w:rPr>
              <w:t xml:space="preserve">Displej  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6,1” FHD+ (15,5 cm)*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 xml:space="preserve">Dynamic AMOLED 2X 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eastAsia="Gulim" w:hAnsi="Calibri" w:cs="Calibri"/>
                <w:color w:val="000000"/>
                <w:sz w:val="18"/>
                <w:szCs w:val="18"/>
              </w:rPr>
              <w:t xml:space="preserve">Obnovovací frekvence </w:t>
            </w:r>
            <w:r w:rsidRPr="00EF4BEF">
              <w:rPr>
                <w:rFonts w:ascii="Calibri" w:hAnsi="Calibri" w:cs="Calibri"/>
                <w:sz w:val="18"/>
                <w:szCs w:val="18"/>
              </w:rPr>
              <w:t>Super Smooth 120 Hz (48~120 Hz) 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Obnovovací frekvence TouchSamplingRate 240 Hz v herním režimu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Funkce Vision booster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 xml:space="preserve">Vylepšené uživatelské pohodlí </w:t>
            </w:r>
          </w:p>
        </w:tc>
        <w:tc>
          <w:tcPr>
            <w:tcW w:w="43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6,6” FHD+ (16,8 cm)*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 xml:space="preserve">Dynamic AMOLED 2X 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eastAsia="Gulim" w:hAnsi="Calibri" w:cs="Calibri"/>
                <w:color w:val="000000"/>
                <w:sz w:val="18"/>
                <w:szCs w:val="18"/>
              </w:rPr>
              <w:t xml:space="preserve">Obnovovací frekvence </w:t>
            </w:r>
            <w:r w:rsidRPr="00EF4BEF">
              <w:rPr>
                <w:rFonts w:ascii="Calibri" w:hAnsi="Calibri" w:cs="Calibri"/>
                <w:sz w:val="18"/>
                <w:szCs w:val="18"/>
              </w:rPr>
              <w:t>Super Smooth 120 Hz (48~120 Hz) 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Obnovovací frekvence TouchSamplingRate 240 Hz v herním režimu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Funkce Vision booster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Vylepšené uživatelské pohodlí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225C" w:rsidRPr="00EF4BEF"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20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>* Měřeno úhlopříčně. Rozměr displeje Galaxy S23: 6,1“ bez zaoblených rohů, 5,9“ (15 cm) se započtením zaoblených rohů. Rozměr displeje Galaxy S23+: 6,6“ bez zaoblených rohů, 6,4“ (16,2 cm) se započtením zaoblených rohů.  Skutečná zobrazovací plocha je menší vzhledem k zaobleným rohům a otvoru objektivu fotoaparátu.</w:t>
            </w:r>
          </w:p>
        </w:tc>
      </w:tr>
      <w:tr w:rsidR="0026225C" w:rsidRPr="00EF4BEF"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eastAsia="Gulim" w:hAnsi="Calibri" w:cs="Calibri"/>
                <w:b/>
                <w:bCs/>
                <w:color w:val="000000"/>
                <w:sz w:val="18"/>
                <w:szCs w:val="18"/>
              </w:rPr>
              <w:t>Rozměry a hmotnost</w:t>
            </w:r>
          </w:p>
        </w:tc>
        <w:tc>
          <w:tcPr>
            <w:tcW w:w="389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70,9 x 146,3 x 7,6 mm, 168 g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EF4BEF">
              <w:rPr>
                <w:rFonts w:ascii="Calibri" w:hAnsi="Calibri" w:cs="Calibri"/>
                <w:sz w:val="18"/>
                <w:szCs w:val="18"/>
                <w:lang w:eastAsia="ko-KR"/>
              </w:rPr>
              <w:t>76,2 x 157,8 x 7,6 mm, 196 g</w:t>
            </w:r>
          </w:p>
        </w:tc>
      </w:tr>
      <w:tr w:rsidR="0026225C" w:rsidRPr="00EF4BEF">
        <w:trPr>
          <w:trHeight w:val="795"/>
        </w:trPr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Fotoaparát </w:t>
            </w:r>
            <w:r w:rsidRPr="00EF4BE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0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Ultraširoký fotoaparát 12 MPix</w:t>
            </w:r>
          </w:p>
          <w:p w:rsidR="0026225C" w:rsidRPr="00EF4BEF" w:rsidRDefault="0026225C" w:rsidP="001712ED">
            <w:pPr>
              <w:numPr>
                <w:ilvl w:val="0"/>
                <w:numId w:val="3"/>
              </w:numPr>
              <w:ind w:left="1080" w:firstLine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 xml:space="preserve"> f2,2, úhel záběru 120˚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 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Širokoúhlý fotoaparát 50 MPix</w:t>
            </w:r>
          </w:p>
          <w:p w:rsidR="0026225C" w:rsidRPr="00EF4BEF" w:rsidRDefault="0026225C" w:rsidP="001712ED">
            <w:pPr>
              <w:numPr>
                <w:ilvl w:val="0"/>
                <w:numId w:val="4"/>
              </w:numPr>
              <w:ind w:left="1080" w:firstLine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f1,8, úhel záběru 85˚ </w:t>
            </w:r>
          </w:p>
          <w:p w:rsidR="0026225C" w:rsidRPr="00EF4BEF" w:rsidRDefault="0026225C" w:rsidP="00B56D79">
            <w:pPr>
              <w:ind w:left="72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 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Teleobjektiv 10 MPix</w:t>
            </w:r>
          </w:p>
          <w:p w:rsidR="0026225C" w:rsidRPr="003238B0" w:rsidRDefault="0026225C" w:rsidP="001712ED">
            <w:pPr>
              <w:numPr>
                <w:ilvl w:val="0"/>
                <w:numId w:val="5"/>
              </w:numPr>
              <w:ind w:left="1080" w:firstLine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3238B0">
              <w:rPr>
                <w:rFonts w:ascii="Calibri" w:hAnsi="Calibri" w:cs="Calibri"/>
                <w:sz w:val="18"/>
                <w:szCs w:val="18"/>
              </w:rPr>
              <w:t>3x optický Zoom, f2,4, úhel záběru 36˚ </w:t>
            </w:r>
          </w:p>
          <w:p w:rsidR="0026225C" w:rsidRPr="003238B0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3238B0">
              <w:rPr>
                <w:rFonts w:ascii="Calibri" w:hAnsi="Calibri" w:cs="Calibri"/>
                <w:sz w:val="18"/>
                <w:szCs w:val="18"/>
              </w:rPr>
              <w:t> 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3238B0">
              <w:rPr>
                <w:rFonts w:ascii="Calibri" w:hAnsi="Calibri" w:cs="Calibri"/>
                <w:sz w:val="18"/>
                <w:szCs w:val="18"/>
              </w:rPr>
              <w:t>Přední fotoaparát 12MPix</w:t>
            </w:r>
          </w:p>
          <w:p w:rsidR="0026225C" w:rsidRPr="00EF4BEF" w:rsidRDefault="0026225C" w:rsidP="001712ED">
            <w:pPr>
              <w:numPr>
                <w:ilvl w:val="0"/>
                <w:numId w:val="5"/>
              </w:numPr>
              <w:ind w:left="1080" w:firstLine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 xml:space="preserve"> f2,2, úhel záběru 80˚ </w:t>
            </w:r>
          </w:p>
        </w:tc>
      </w:tr>
      <w:tr w:rsidR="0026225C" w:rsidRPr="00EF4BEF">
        <w:trPr>
          <w:trHeight w:val="328"/>
        </w:trPr>
        <w:tc>
          <w:tcPr>
            <w:tcW w:w="11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Procesor </w:t>
            </w:r>
          </w:p>
        </w:tc>
        <w:tc>
          <w:tcPr>
            <w:tcW w:w="820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4BEF">
              <w:rPr>
                <w:rFonts w:ascii="Calibri" w:hAnsi="Calibri" w:cs="Calibri"/>
                <w:color w:val="000000"/>
                <w:sz w:val="18"/>
                <w:szCs w:val="18"/>
              </w:rPr>
              <w:t>Snapdragon® 8 Gen 2 Mobile Platform pro Samsung Galaxy</w:t>
            </w:r>
          </w:p>
        </w:tc>
      </w:tr>
      <w:tr w:rsidR="0026225C" w:rsidRPr="00EF4BEF">
        <w:trPr>
          <w:trHeight w:val="759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Paměť </w:t>
            </w:r>
            <w:r w:rsidRPr="00EF4BE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9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8 + 256 GB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8 + 128 GB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8 + 512 GB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8 + 256 GB</w:t>
            </w:r>
          </w:p>
        </w:tc>
      </w:tr>
      <w:tr w:rsidR="0026225C" w:rsidRPr="00EF4BEF">
        <w:trPr>
          <w:trHeight w:val="292"/>
        </w:trPr>
        <w:tc>
          <w:tcPr>
            <w:tcW w:w="11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20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AE56C1" w:rsidRDefault="0026225C" w:rsidP="00B56D79">
            <w:pPr>
              <w:textAlignment w:val="baseline"/>
              <w:rPr>
                <w:rFonts w:ascii="Calibri" w:hAnsi="Calibri" w:cs="Calibri"/>
                <w:i/>
                <w:iCs/>
                <w:color w:val="555555"/>
                <w:sz w:val="16"/>
                <w:szCs w:val="16"/>
              </w:rPr>
            </w:pPr>
            <w:r w:rsidRPr="00AE56C1">
              <w:rPr>
                <w:rFonts w:ascii="Calibri" w:hAnsi="Calibri" w:cs="Calibri"/>
                <w:i/>
                <w:iCs/>
                <w:sz w:val="16"/>
                <w:szCs w:val="16"/>
              </w:rPr>
              <w:t>*</w:t>
            </w:r>
            <w:r w:rsidRPr="00AE56C1">
              <w:rPr>
                <w:rFonts w:ascii="Calibri" w:hAnsi="Calibri" w:cs="Calibri"/>
                <w:i/>
                <w:iCs/>
                <w:color w:val="555555"/>
                <w:sz w:val="16"/>
                <w:szCs w:val="16"/>
              </w:rPr>
              <w:t xml:space="preserve"> Dostupná kapacita úložného prostoru závisí na instalovaném softwaru.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i/>
                <w:iCs/>
                <w:color w:val="555555"/>
                <w:sz w:val="18"/>
                <w:szCs w:val="18"/>
              </w:rPr>
            </w:pPr>
            <w:r w:rsidRPr="00AE56C1">
              <w:rPr>
                <w:rFonts w:ascii="Calibri" w:hAnsi="Calibri" w:cs="Calibri"/>
                <w:i/>
                <w:iCs/>
                <w:color w:val="555555"/>
                <w:sz w:val="16"/>
                <w:szCs w:val="16"/>
              </w:rPr>
              <w:t>* Kapacita paměti se může na jednotlivých trzích lišit.</w:t>
            </w:r>
          </w:p>
        </w:tc>
      </w:tr>
      <w:tr w:rsidR="0026225C" w:rsidRPr="00EF4BEF">
        <w:trPr>
          <w:trHeight w:val="403"/>
        </w:trPr>
        <w:tc>
          <w:tcPr>
            <w:tcW w:w="113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b/>
                <w:bCs/>
                <w:sz w:val="18"/>
                <w:szCs w:val="18"/>
              </w:rPr>
              <w:t>Baterie</w:t>
            </w:r>
            <w:r w:rsidRPr="00EF4BE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9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3 900 mAh 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4 700 mAh </w:t>
            </w:r>
          </w:p>
        </w:tc>
      </w:tr>
      <w:tr w:rsidR="0026225C" w:rsidRPr="00EF4BEF">
        <w:tc>
          <w:tcPr>
            <w:tcW w:w="11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*</w:t>
            </w: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>Typická hodnota podle nezávislých laboratorních testů. Typickou hodnotou se rozumí průměrná odhadovaná hodnota vzhledem k odchylkám kapacity baterie u testovaných vzorků podle standardu IEC 61960. Jmenovitá (minimální) kapacita je u modelu Galaxy S23 3785 mAh a u modelu Galaxy S23+ 4563 mAh Skutečná výdrž baterie závisí na prostředí v síti, typu využití apod.</w:t>
            </w:r>
          </w:p>
        </w:tc>
      </w:tr>
      <w:tr w:rsidR="0026225C" w:rsidRPr="00EF4BEF">
        <w:trPr>
          <w:trHeight w:val="1125"/>
        </w:trPr>
        <w:tc>
          <w:tcPr>
            <w:tcW w:w="113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b/>
                <w:bCs/>
                <w:sz w:val="18"/>
                <w:szCs w:val="18"/>
              </w:rPr>
              <w:t>Dobíjení</w:t>
            </w:r>
            <w:r w:rsidRPr="00EF4BE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9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Kabelové dobíjení*: až 50 % za cca 30 min s adaptérem 25 W ** a kabelem 3 A USB-C ***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Fast WirelessCharging 2.0****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WirelessPowerShare*****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Kabelové dobíjení*: až 65 % za cca 30 min s adaptérem 45 W ** a kabelem 5 A USB-C ***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Fast WirelessCharging 2.0****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WirelessPowerShare*****</w:t>
            </w:r>
          </w:p>
        </w:tc>
      </w:tr>
      <w:tr w:rsidR="0026225C" w:rsidRPr="00EF4BEF">
        <w:trPr>
          <w:trHeight w:val="143"/>
        </w:trPr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20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>* Kabelové dobíjení kompatibilní s QC2.0 a AFC.</w:t>
            </w:r>
          </w:p>
        </w:tc>
      </w:tr>
      <w:tr w:rsidR="0026225C" w:rsidRPr="00EF4BEF">
        <w:trPr>
          <w:trHeight w:val="499"/>
        </w:trPr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20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0B0FB5" w:rsidRDefault="0026225C" w:rsidP="00B56D79">
            <w:pPr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>** Síťová nabíječka a datový kabel se prodávají samostatně. U modelu Galaxy S23+ doporučujeme používat originální dobíječku Samsung 45 W, u modelu Galaxy S23 originální dobíječku Samsung 25 W.</w:t>
            </w:r>
          </w:p>
        </w:tc>
      </w:tr>
      <w:tr w:rsidR="0026225C" w:rsidRPr="00EF4BEF">
        <w:trPr>
          <w:trHeight w:val="226"/>
        </w:trPr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20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>*** Na základě výsledků interních testů Samsungu s cestovním dobíjecím adaptérem 25 W připojeným k předprodukční verzi modelu Galaxy S23 a s cestovním dobíjecím adaptérem 45 W připojeným k předprodukční verzi modelu Galaxy S23+ za stavu 0 % energie, s vypnutými službami, funkcemi i displejem. Skutečná rychlost dobíjení závisí na způsobu použití, podmínkách dobíjení a dalších faktorech.</w:t>
            </w:r>
          </w:p>
        </w:tc>
      </w:tr>
      <w:tr w:rsidR="0026225C" w:rsidRPr="00EF4BEF">
        <w:trPr>
          <w:trHeight w:val="226"/>
        </w:trPr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20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>**** Bezdrátové dobíjení je kompatibilní s WPC.</w:t>
            </w:r>
          </w:p>
        </w:tc>
      </w:tr>
      <w:tr w:rsidR="0026225C" w:rsidRPr="00EF4BEF">
        <w:trPr>
          <w:trHeight w:val="1125"/>
        </w:trPr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20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***** Systém je omezen na chytré telefony Samsung nebo chytré telefony jiné značky s bezdrátovým nabíjením Qi, mezi kompatibilní modely patří Galaxy S23 Ultra, S23+, S23, Z Fold 4, Z Flip4,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řada </w:t>
            </w: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S22, Z Fold3 5G, Z Flip3 5G, S21 FE 5G,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řada </w:t>
            </w: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>S21, Z Fold2,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řada</w:t>
            </w: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Note20,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řada</w:t>
            </w: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S20, Z Flip, Note10, Note10+, S10e, S10, S10+, Fold, S9, S9+, S8, S8+, S8 Active, S7, S7 edge, S7 Active, S6, S6 edge, S6 Active, S6 edge+, Note9, Note8, Note FE and Note5. K dispozici u některé nositelné technologie, např. Galaxy Buds2 Pro, Buds2, Buds Pro, Buds Live, Watch5, Watch 5 Pro, Watch4, Watch4 Classic, Watch3, Watch Active2, WatchActive, Gear Sport, Gear S3, GalaxyWatch and GalaxyBuds. Klesne-li stav baterie pod 30 %, nemusí WirelessPowerShare fungovat. Nemusí fungovat s některým příslušenstvím, obaly, modely jiných značek nebo některými nositelnými zařízeními Samsung. Funkce WirelessPowerShare může mít vliv na příjem signálu či datové služby, záleží na prostředí v síti. </w:t>
            </w:r>
          </w:p>
        </w:tc>
      </w:tr>
      <w:tr w:rsidR="0026225C" w:rsidRPr="00EF4BEF"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Operační systém </w:t>
            </w:r>
            <w:r w:rsidRPr="00EF4BE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0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Android 13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One UI 5.1</w:t>
            </w:r>
          </w:p>
        </w:tc>
      </w:tr>
      <w:tr w:rsidR="0026225C" w:rsidRPr="00EF4BEF">
        <w:tc>
          <w:tcPr>
            <w:tcW w:w="113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eastAsia="Gulim" w:hAnsi="Calibri" w:cs="Calibri"/>
                <w:b/>
                <w:bCs/>
                <w:color w:val="000000"/>
                <w:sz w:val="18"/>
                <w:szCs w:val="18"/>
              </w:rPr>
              <w:t>Sítě a konektivita</w:t>
            </w:r>
          </w:p>
        </w:tc>
        <w:tc>
          <w:tcPr>
            <w:tcW w:w="820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225C" w:rsidRPr="00EF4BEF">
        <w:trPr>
          <w:trHeight w:val="347"/>
        </w:trPr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5G*, LTE**, Wi-Fi 6E***, Wi-Fi Direct Bluetooth® v 5.3</w:t>
            </w:r>
          </w:p>
        </w:tc>
      </w:tr>
      <w:tr w:rsidR="0026225C" w:rsidRPr="00EF4BEF"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*Služby 5G jsou podporovány jen v lokalitách s dostupnou 5G sítí. Vyžaduje optimální připojení 5G. Skutečná rychlost závisí na zemi, operátorovi a prostředí. 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** Dostupnost LTE modelů závisí na zemi a mobilním operátorovi. </w:t>
            </w:r>
          </w:p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>*** Dostupnost Wi-Fi 6E závisí na zemi, operátorovi a prostředí. Vyžaduje optimální připojení a Wi-Fi 6E router.</w:t>
            </w:r>
          </w:p>
        </w:tc>
      </w:tr>
      <w:tr w:rsidR="0026225C" w:rsidRPr="00EF4BEF">
        <w:trPr>
          <w:trHeight w:val="350"/>
        </w:trPr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F4BEF">
              <w:rPr>
                <w:rFonts w:ascii="Calibri" w:hAnsi="Calibri" w:cs="Calibri"/>
                <w:b/>
                <w:bCs/>
                <w:sz w:val="18"/>
                <w:szCs w:val="18"/>
              </w:rPr>
              <w:t>Zabezpečení</w:t>
            </w:r>
            <w:r w:rsidRPr="00EF4BE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0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Samsung Knox, Samsung Knox Vault </w:t>
            </w:r>
          </w:p>
        </w:tc>
      </w:tr>
      <w:tr w:rsidR="0026225C" w:rsidRPr="00EF4BEF">
        <w:trPr>
          <w:trHeight w:val="343"/>
        </w:trPr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b/>
                <w:bCs/>
                <w:sz w:val="18"/>
                <w:szCs w:val="18"/>
              </w:rPr>
              <w:t>Odolnost proti vlhkosti</w:t>
            </w:r>
          </w:p>
        </w:tc>
        <w:tc>
          <w:tcPr>
            <w:tcW w:w="820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IP68 </w:t>
            </w:r>
          </w:p>
        </w:tc>
      </w:tr>
      <w:tr w:rsidR="0026225C" w:rsidRPr="00115F5A">
        <w:tc>
          <w:tcPr>
            <w:tcW w:w="113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225C" w:rsidRPr="00EF4BEF" w:rsidRDefault="0026225C" w:rsidP="00B56D7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6225C" w:rsidRPr="00115F5A" w:rsidRDefault="0026225C" w:rsidP="00B56D79">
            <w:pPr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>*IP68: Měřeno v laboratorních podmínkách. Platí pro testovací podmínky při ponoření do 1,5 m sladké vody max. na 30 minut. Chrání proti prachu, nečistotě a písku. Při namočení opláchněte a osušte. Nehodí se k použití na pláži nebo u bazénu. Ochrana zařízení proti vodě a prachu není trvalá a časem může zeslábnout.</w:t>
            </w:r>
          </w:p>
        </w:tc>
      </w:tr>
    </w:tbl>
    <w:p w:rsidR="0026225C" w:rsidRPr="00115F5A" w:rsidRDefault="0026225C" w:rsidP="001712ED">
      <w:pPr>
        <w:rPr>
          <w:rFonts w:ascii="Calibri Light" w:hAnsi="Calibri Light"/>
          <w:b/>
          <w:bCs/>
          <w:color w:val="0070C0"/>
          <w:sz w:val="22"/>
          <w:szCs w:val="22"/>
          <w:lang w:eastAsia="ko-KR"/>
        </w:rPr>
      </w:pPr>
    </w:p>
    <w:p w:rsidR="0026225C" w:rsidRPr="00115F5A" w:rsidRDefault="0026225C" w:rsidP="001712ED">
      <w:pPr>
        <w:spacing w:line="30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26225C" w:rsidRPr="000B0FB5" w:rsidRDefault="0026225C" w:rsidP="000B0FB5"/>
    <w:sectPr w:rsidR="0026225C" w:rsidRPr="000B0FB5" w:rsidSect="008C0379">
      <w:headerReference w:type="default" r:id="rId7"/>
      <w:footerReference w:type="default" r:id="rId8"/>
      <w:footnotePr>
        <w:pos w:val="beneathText"/>
      </w:footnotePr>
      <w:endnotePr>
        <w:numFmt w:val="decimal"/>
      </w:endnotePr>
      <w:pgSz w:w="11906" w:h="16838"/>
      <w:pgMar w:top="2160" w:right="1466" w:bottom="354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25C" w:rsidRDefault="0026225C" w:rsidP="001712ED">
      <w:r>
        <w:separator/>
      </w:r>
    </w:p>
  </w:endnote>
  <w:endnote w:type="continuationSeparator" w:id="1">
    <w:p w:rsidR="0026225C" w:rsidRDefault="0026225C" w:rsidP="001712ED">
      <w:r>
        <w:continuationSeparator/>
      </w:r>
    </w:p>
  </w:endnote>
  <w:endnote w:type="continuationNotice" w:id="2">
    <w:p w:rsidR="0026225C" w:rsidRDefault="0026225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ąŮĹÁ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">
    <w:altName w:val="Malgun Gothic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25C" w:rsidRDefault="0026225C">
    <w:pPr>
      <w:pStyle w:val="Footer"/>
      <w:ind w:right="360"/>
      <w:rPr>
        <w:rFonts w:ascii="Arial" w:hAnsi="Arial" w:cs="Arial"/>
        <w:position w:val="-6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25C" w:rsidRDefault="0026225C" w:rsidP="001712ED">
      <w:r>
        <w:separator/>
      </w:r>
    </w:p>
  </w:footnote>
  <w:footnote w:type="continuationSeparator" w:id="1">
    <w:p w:rsidR="0026225C" w:rsidRDefault="0026225C" w:rsidP="001712ED">
      <w:r>
        <w:continuationSeparator/>
      </w:r>
    </w:p>
  </w:footnote>
  <w:footnote w:type="continuationNotice" w:id="2">
    <w:p w:rsidR="0026225C" w:rsidRDefault="0026225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25C" w:rsidRDefault="0026225C">
    <w:pPr>
      <w:pStyle w:val="Header"/>
      <w:ind w:firstLine="1416"/>
      <w:rPr>
        <w:b/>
        <w:bCs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alt="Pozadi2015" style="position:absolute;left:0;text-align:left;margin-left:-69.6pt;margin-top:-36pt;width:593.4pt;height:840.4pt;z-index:251660288;visibility:visible">
          <v:imagedata r:id="rId1" o:title=""/>
        </v:shape>
      </w:pict>
    </w:r>
    <w:r>
      <w:rPr>
        <w:rFonts w:ascii="Arial" w:hAnsi="Arial" w:cs="Arial"/>
        <w:b/>
        <w:bCs/>
        <w:lang w:val="pl-P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1683"/>
    <w:multiLevelType w:val="multilevel"/>
    <w:tmpl w:val="A704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22096458"/>
    <w:multiLevelType w:val="multilevel"/>
    <w:tmpl w:val="8CC4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25ED2053"/>
    <w:multiLevelType w:val="hybridMultilevel"/>
    <w:tmpl w:val="0FD0F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1603B"/>
    <w:multiLevelType w:val="hybridMultilevel"/>
    <w:tmpl w:val="E1809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0DA12E3"/>
    <w:multiLevelType w:val="hybridMultilevel"/>
    <w:tmpl w:val="87926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2A43763"/>
    <w:multiLevelType w:val="hybridMultilevel"/>
    <w:tmpl w:val="1A9A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1AA7C92"/>
    <w:multiLevelType w:val="hybridMultilevel"/>
    <w:tmpl w:val="69CA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8706126"/>
    <w:multiLevelType w:val="hybridMultilevel"/>
    <w:tmpl w:val="7462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CBB2206"/>
    <w:multiLevelType w:val="multilevel"/>
    <w:tmpl w:val="13FE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6F904656"/>
    <w:multiLevelType w:val="hybridMultilevel"/>
    <w:tmpl w:val="0396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27C4527"/>
    <w:multiLevelType w:val="multilevel"/>
    <w:tmpl w:val="6DE6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1">
    <w:nsid w:val="77485CC3"/>
    <w:multiLevelType w:val="hybridMultilevel"/>
    <w:tmpl w:val="017EA008"/>
    <w:lvl w:ilvl="0" w:tplc="E1F869BC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C622A338">
      <w:start w:val="6"/>
      <w:numFmt w:val="bullet"/>
      <w:lvlText w:val="-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10"/>
  </w:num>
  <w:num w:numId="6">
    <w:abstractNumId w:val="1"/>
  </w:num>
  <w:num w:numId="7">
    <w:abstractNumId w:val="2"/>
  </w:num>
  <w:num w:numId="8">
    <w:abstractNumId w:val="11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  <w:footnote w:id="2"/>
  </w:footnotePr>
  <w:endnotePr>
    <w:numFmt w:val="decimal"/>
    <w:endnote w:id="0"/>
    <w:endnote w:id="1"/>
    <w:endnote w:id="2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2ED"/>
    <w:rsid w:val="000074A6"/>
    <w:rsid w:val="000147C5"/>
    <w:rsid w:val="0001496B"/>
    <w:rsid w:val="00017378"/>
    <w:rsid w:val="0003559F"/>
    <w:rsid w:val="00037D43"/>
    <w:rsid w:val="00046E79"/>
    <w:rsid w:val="00047A73"/>
    <w:rsid w:val="000542FD"/>
    <w:rsid w:val="0006165E"/>
    <w:rsid w:val="00076704"/>
    <w:rsid w:val="00077A33"/>
    <w:rsid w:val="000905FE"/>
    <w:rsid w:val="000906E7"/>
    <w:rsid w:val="000A61ED"/>
    <w:rsid w:val="000A72E4"/>
    <w:rsid w:val="000B0E21"/>
    <w:rsid w:val="000B0FB5"/>
    <w:rsid w:val="000B3C06"/>
    <w:rsid w:val="000B6586"/>
    <w:rsid w:val="000B744A"/>
    <w:rsid w:val="000C01F7"/>
    <w:rsid w:val="000C2059"/>
    <w:rsid w:val="000C2AC9"/>
    <w:rsid w:val="000D230B"/>
    <w:rsid w:val="000F1650"/>
    <w:rsid w:val="000F46E6"/>
    <w:rsid w:val="00100E48"/>
    <w:rsid w:val="001021F0"/>
    <w:rsid w:val="00102586"/>
    <w:rsid w:val="00107CA4"/>
    <w:rsid w:val="00115F5A"/>
    <w:rsid w:val="001216E3"/>
    <w:rsid w:val="00123E85"/>
    <w:rsid w:val="00126703"/>
    <w:rsid w:val="001302C4"/>
    <w:rsid w:val="001347DB"/>
    <w:rsid w:val="00134F48"/>
    <w:rsid w:val="001437ED"/>
    <w:rsid w:val="00145F12"/>
    <w:rsid w:val="00150407"/>
    <w:rsid w:val="0015044A"/>
    <w:rsid w:val="00161805"/>
    <w:rsid w:val="001618E3"/>
    <w:rsid w:val="001642D3"/>
    <w:rsid w:val="001712ED"/>
    <w:rsid w:val="001724AA"/>
    <w:rsid w:val="0017252D"/>
    <w:rsid w:val="001751B8"/>
    <w:rsid w:val="0018232D"/>
    <w:rsid w:val="00187558"/>
    <w:rsid w:val="00194AAD"/>
    <w:rsid w:val="00197EF6"/>
    <w:rsid w:val="001A1601"/>
    <w:rsid w:val="001A2641"/>
    <w:rsid w:val="001A55C0"/>
    <w:rsid w:val="001A5C7B"/>
    <w:rsid w:val="001B107F"/>
    <w:rsid w:val="001C11A7"/>
    <w:rsid w:val="001C7480"/>
    <w:rsid w:val="001D57BD"/>
    <w:rsid w:val="001E6A7C"/>
    <w:rsid w:val="001F0768"/>
    <w:rsid w:val="00200224"/>
    <w:rsid w:val="002004CD"/>
    <w:rsid w:val="00204740"/>
    <w:rsid w:val="00220C70"/>
    <w:rsid w:val="00240AE7"/>
    <w:rsid w:val="00245526"/>
    <w:rsid w:val="00256E60"/>
    <w:rsid w:val="00257B6F"/>
    <w:rsid w:val="0026225C"/>
    <w:rsid w:val="00275382"/>
    <w:rsid w:val="0027707D"/>
    <w:rsid w:val="00277D0F"/>
    <w:rsid w:val="00282E16"/>
    <w:rsid w:val="0028364B"/>
    <w:rsid w:val="00284C03"/>
    <w:rsid w:val="002958BC"/>
    <w:rsid w:val="002972E7"/>
    <w:rsid w:val="002A6533"/>
    <w:rsid w:val="002B6AA5"/>
    <w:rsid w:val="002C09CA"/>
    <w:rsid w:val="002C6F3F"/>
    <w:rsid w:val="002D307D"/>
    <w:rsid w:val="002D6638"/>
    <w:rsid w:val="002E6B1A"/>
    <w:rsid w:val="002F2329"/>
    <w:rsid w:val="002F3109"/>
    <w:rsid w:val="002F50C6"/>
    <w:rsid w:val="002F63B5"/>
    <w:rsid w:val="00313687"/>
    <w:rsid w:val="0031557D"/>
    <w:rsid w:val="00315DDE"/>
    <w:rsid w:val="003217A3"/>
    <w:rsid w:val="003238B0"/>
    <w:rsid w:val="00325FB5"/>
    <w:rsid w:val="00331923"/>
    <w:rsid w:val="00343F86"/>
    <w:rsid w:val="00345D70"/>
    <w:rsid w:val="003510D4"/>
    <w:rsid w:val="00356D3F"/>
    <w:rsid w:val="0035791E"/>
    <w:rsid w:val="00364970"/>
    <w:rsid w:val="00365009"/>
    <w:rsid w:val="003733CD"/>
    <w:rsid w:val="00391EFE"/>
    <w:rsid w:val="0039273D"/>
    <w:rsid w:val="0039284C"/>
    <w:rsid w:val="003951C7"/>
    <w:rsid w:val="003963E5"/>
    <w:rsid w:val="003A0446"/>
    <w:rsid w:val="003A0CC2"/>
    <w:rsid w:val="003B0804"/>
    <w:rsid w:val="003B27DE"/>
    <w:rsid w:val="003B4F5F"/>
    <w:rsid w:val="003B5765"/>
    <w:rsid w:val="003B5A84"/>
    <w:rsid w:val="003B6096"/>
    <w:rsid w:val="003B6662"/>
    <w:rsid w:val="003C320E"/>
    <w:rsid w:val="003D6706"/>
    <w:rsid w:val="003F4931"/>
    <w:rsid w:val="003F6D28"/>
    <w:rsid w:val="00405DD3"/>
    <w:rsid w:val="004206DE"/>
    <w:rsid w:val="004255D0"/>
    <w:rsid w:val="00447286"/>
    <w:rsid w:val="00447644"/>
    <w:rsid w:val="00453130"/>
    <w:rsid w:val="00453DF9"/>
    <w:rsid w:val="00456B5E"/>
    <w:rsid w:val="00460207"/>
    <w:rsid w:val="0046049D"/>
    <w:rsid w:val="004606BA"/>
    <w:rsid w:val="00465968"/>
    <w:rsid w:val="004754E3"/>
    <w:rsid w:val="00476652"/>
    <w:rsid w:val="00480C65"/>
    <w:rsid w:val="00487EC3"/>
    <w:rsid w:val="004A1528"/>
    <w:rsid w:val="004B0973"/>
    <w:rsid w:val="004B4A8B"/>
    <w:rsid w:val="004B5B27"/>
    <w:rsid w:val="004C2B7E"/>
    <w:rsid w:val="004D042B"/>
    <w:rsid w:val="004D7A2F"/>
    <w:rsid w:val="004E37CE"/>
    <w:rsid w:val="004E64AE"/>
    <w:rsid w:val="004F3EF7"/>
    <w:rsid w:val="004F4BB5"/>
    <w:rsid w:val="004F6C9A"/>
    <w:rsid w:val="005074B9"/>
    <w:rsid w:val="005127F1"/>
    <w:rsid w:val="00512974"/>
    <w:rsid w:val="00513319"/>
    <w:rsid w:val="00526A91"/>
    <w:rsid w:val="005420DB"/>
    <w:rsid w:val="0054286B"/>
    <w:rsid w:val="00542890"/>
    <w:rsid w:val="00555864"/>
    <w:rsid w:val="00563136"/>
    <w:rsid w:val="00565BA8"/>
    <w:rsid w:val="00582057"/>
    <w:rsid w:val="005822D4"/>
    <w:rsid w:val="00585DFD"/>
    <w:rsid w:val="00593CC4"/>
    <w:rsid w:val="005B04F4"/>
    <w:rsid w:val="005B561A"/>
    <w:rsid w:val="005C54CF"/>
    <w:rsid w:val="005E33C4"/>
    <w:rsid w:val="005E7E0C"/>
    <w:rsid w:val="005F406D"/>
    <w:rsid w:val="0060117B"/>
    <w:rsid w:val="0060241D"/>
    <w:rsid w:val="0061166B"/>
    <w:rsid w:val="0061613D"/>
    <w:rsid w:val="00623D4E"/>
    <w:rsid w:val="0063276B"/>
    <w:rsid w:val="00634203"/>
    <w:rsid w:val="00643920"/>
    <w:rsid w:val="00643B40"/>
    <w:rsid w:val="00647C14"/>
    <w:rsid w:val="006534A5"/>
    <w:rsid w:val="006658CD"/>
    <w:rsid w:val="00667470"/>
    <w:rsid w:val="00670A7E"/>
    <w:rsid w:val="006837E4"/>
    <w:rsid w:val="006878F3"/>
    <w:rsid w:val="0069402F"/>
    <w:rsid w:val="006943A8"/>
    <w:rsid w:val="00694B8F"/>
    <w:rsid w:val="00695405"/>
    <w:rsid w:val="006A5C17"/>
    <w:rsid w:val="006B0D68"/>
    <w:rsid w:val="006B37DA"/>
    <w:rsid w:val="006B53EF"/>
    <w:rsid w:val="006B5CB9"/>
    <w:rsid w:val="006B753B"/>
    <w:rsid w:val="006C15E0"/>
    <w:rsid w:val="006D26BA"/>
    <w:rsid w:val="006D3919"/>
    <w:rsid w:val="006D474A"/>
    <w:rsid w:val="006E1EC7"/>
    <w:rsid w:val="006E29CC"/>
    <w:rsid w:val="006E536D"/>
    <w:rsid w:val="006E6F08"/>
    <w:rsid w:val="006E7138"/>
    <w:rsid w:val="006F2816"/>
    <w:rsid w:val="006F3146"/>
    <w:rsid w:val="006F4114"/>
    <w:rsid w:val="006F78D0"/>
    <w:rsid w:val="00702B79"/>
    <w:rsid w:val="00705A39"/>
    <w:rsid w:val="007200E9"/>
    <w:rsid w:val="00720C33"/>
    <w:rsid w:val="00726BD9"/>
    <w:rsid w:val="00730905"/>
    <w:rsid w:val="00731214"/>
    <w:rsid w:val="007509F5"/>
    <w:rsid w:val="007521ED"/>
    <w:rsid w:val="007527C5"/>
    <w:rsid w:val="007534E0"/>
    <w:rsid w:val="00756599"/>
    <w:rsid w:val="007633C2"/>
    <w:rsid w:val="00774A1F"/>
    <w:rsid w:val="007810EE"/>
    <w:rsid w:val="00781A02"/>
    <w:rsid w:val="007B18BE"/>
    <w:rsid w:val="007B4731"/>
    <w:rsid w:val="007B686C"/>
    <w:rsid w:val="007C3D1B"/>
    <w:rsid w:val="007C407C"/>
    <w:rsid w:val="007C6EB5"/>
    <w:rsid w:val="007D1771"/>
    <w:rsid w:val="008107E8"/>
    <w:rsid w:val="008115E0"/>
    <w:rsid w:val="008126C7"/>
    <w:rsid w:val="0081614B"/>
    <w:rsid w:val="00817233"/>
    <w:rsid w:val="00825A06"/>
    <w:rsid w:val="00827DE9"/>
    <w:rsid w:val="0083258B"/>
    <w:rsid w:val="0083580B"/>
    <w:rsid w:val="00836052"/>
    <w:rsid w:val="0085763E"/>
    <w:rsid w:val="00875ADF"/>
    <w:rsid w:val="0087638E"/>
    <w:rsid w:val="00880C70"/>
    <w:rsid w:val="00890E2C"/>
    <w:rsid w:val="0089117B"/>
    <w:rsid w:val="008944EE"/>
    <w:rsid w:val="008A067F"/>
    <w:rsid w:val="008A0E70"/>
    <w:rsid w:val="008A5B93"/>
    <w:rsid w:val="008A6411"/>
    <w:rsid w:val="008B156C"/>
    <w:rsid w:val="008C0379"/>
    <w:rsid w:val="008C2077"/>
    <w:rsid w:val="008C638E"/>
    <w:rsid w:val="008D65D8"/>
    <w:rsid w:val="008D7D98"/>
    <w:rsid w:val="008E0110"/>
    <w:rsid w:val="008E516F"/>
    <w:rsid w:val="008E59AF"/>
    <w:rsid w:val="008E704D"/>
    <w:rsid w:val="008E7805"/>
    <w:rsid w:val="008F299A"/>
    <w:rsid w:val="008F317A"/>
    <w:rsid w:val="008F5F29"/>
    <w:rsid w:val="0091156E"/>
    <w:rsid w:val="00920F8D"/>
    <w:rsid w:val="0092226E"/>
    <w:rsid w:val="009234CB"/>
    <w:rsid w:val="0092360F"/>
    <w:rsid w:val="00927E97"/>
    <w:rsid w:val="0093293A"/>
    <w:rsid w:val="00936210"/>
    <w:rsid w:val="00937056"/>
    <w:rsid w:val="00951E08"/>
    <w:rsid w:val="00957FFB"/>
    <w:rsid w:val="00962C2F"/>
    <w:rsid w:val="00965CAD"/>
    <w:rsid w:val="00974C06"/>
    <w:rsid w:val="00976C91"/>
    <w:rsid w:val="00981DB8"/>
    <w:rsid w:val="00985243"/>
    <w:rsid w:val="009865CA"/>
    <w:rsid w:val="00986D50"/>
    <w:rsid w:val="00986FCC"/>
    <w:rsid w:val="009942DD"/>
    <w:rsid w:val="00996456"/>
    <w:rsid w:val="00996732"/>
    <w:rsid w:val="009A164E"/>
    <w:rsid w:val="009A21D1"/>
    <w:rsid w:val="009A49B5"/>
    <w:rsid w:val="009B31C5"/>
    <w:rsid w:val="009B4391"/>
    <w:rsid w:val="009B71AA"/>
    <w:rsid w:val="009C4E1B"/>
    <w:rsid w:val="009E1BA2"/>
    <w:rsid w:val="009E20B4"/>
    <w:rsid w:val="009E24DD"/>
    <w:rsid w:val="009F06CA"/>
    <w:rsid w:val="009F1BED"/>
    <w:rsid w:val="009F4A52"/>
    <w:rsid w:val="00A06BED"/>
    <w:rsid w:val="00A13F83"/>
    <w:rsid w:val="00A17172"/>
    <w:rsid w:val="00A25788"/>
    <w:rsid w:val="00A35D09"/>
    <w:rsid w:val="00A41919"/>
    <w:rsid w:val="00A43301"/>
    <w:rsid w:val="00A50131"/>
    <w:rsid w:val="00A53F22"/>
    <w:rsid w:val="00A66F8B"/>
    <w:rsid w:val="00A747ED"/>
    <w:rsid w:val="00A87CA2"/>
    <w:rsid w:val="00A9440D"/>
    <w:rsid w:val="00A97C5F"/>
    <w:rsid w:val="00AA02F4"/>
    <w:rsid w:val="00AA1DEA"/>
    <w:rsid w:val="00AA2FD8"/>
    <w:rsid w:val="00AB1C94"/>
    <w:rsid w:val="00AB5A98"/>
    <w:rsid w:val="00AB7672"/>
    <w:rsid w:val="00AC1F2F"/>
    <w:rsid w:val="00AC3AB1"/>
    <w:rsid w:val="00AE56C1"/>
    <w:rsid w:val="00AE7F4A"/>
    <w:rsid w:val="00AF23B1"/>
    <w:rsid w:val="00AF355C"/>
    <w:rsid w:val="00B03E3F"/>
    <w:rsid w:val="00B06AB0"/>
    <w:rsid w:val="00B11A62"/>
    <w:rsid w:val="00B12AB1"/>
    <w:rsid w:val="00B20736"/>
    <w:rsid w:val="00B241A6"/>
    <w:rsid w:val="00B32F94"/>
    <w:rsid w:val="00B4196B"/>
    <w:rsid w:val="00B42C26"/>
    <w:rsid w:val="00B5614C"/>
    <w:rsid w:val="00B56D79"/>
    <w:rsid w:val="00B7261E"/>
    <w:rsid w:val="00B771DC"/>
    <w:rsid w:val="00B7743B"/>
    <w:rsid w:val="00B776CA"/>
    <w:rsid w:val="00B844E8"/>
    <w:rsid w:val="00BA165B"/>
    <w:rsid w:val="00BA5854"/>
    <w:rsid w:val="00BB20FF"/>
    <w:rsid w:val="00BB2856"/>
    <w:rsid w:val="00BB38A1"/>
    <w:rsid w:val="00BB4AFE"/>
    <w:rsid w:val="00BB6DDD"/>
    <w:rsid w:val="00BC1344"/>
    <w:rsid w:val="00BC1A99"/>
    <w:rsid w:val="00BC6907"/>
    <w:rsid w:val="00BD279C"/>
    <w:rsid w:val="00BD43FB"/>
    <w:rsid w:val="00BD7F70"/>
    <w:rsid w:val="00BF0D4D"/>
    <w:rsid w:val="00BF10D2"/>
    <w:rsid w:val="00BF467E"/>
    <w:rsid w:val="00BF5942"/>
    <w:rsid w:val="00C12C70"/>
    <w:rsid w:val="00C33614"/>
    <w:rsid w:val="00C34159"/>
    <w:rsid w:val="00C373BB"/>
    <w:rsid w:val="00C50F25"/>
    <w:rsid w:val="00C52B82"/>
    <w:rsid w:val="00C54025"/>
    <w:rsid w:val="00C55B4F"/>
    <w:rsid w:val="00C6239C"/>
    <w:rsid w:val="00C67209"/>
    <w:rsid w:val="00C85F83"/>
    <w:rsid w:val="00CA5438"/>
    <w:rsid w:val="00CA71AA"/>
    <w:rsid w:val="00CB0AFF"/>
    <w:rsid w:val="00CC0E96"/>
    <w:rsid w:val="00CC3CF4"/>
    <w:rsid w:val="00CC417A"/>
    <w:rsid w:val="00CC4349"/>
    <w:rsid w:val="00CD3F1D"/>
    <w:rsid w:val="00CD4A7E"/>
    <w:rsid w:val="00CD5F7C"/>
    <w:rsid w:val="00CE18CF"/>
    <w:rsid w:val="00CF2B7A"/>
    <w:rsid w:val="00CF7520"/>
    <w:rsid w:val="00D00E3E"/>
    <w:rsid w:val="00D037F0"/>
    <w:rsid w:val="00D05CB9"/>
    <w:rsid w:val="00D068DD"/>
    <w:rsid w:val="00D072AD"/>
    <w:rsid w:val="00D1428C"/>
    <w:rsid w:val="00D15F19"/>
    <w:rsid w:val="00D30DE9"/>
    <w:rsid w:val="00D34C37"/>
    <w:rsid w:val="00D35380"/>
    <w:rsid w:val="00D40A20"/>
    <w:rsid w:val="00D42F76"/>
    <w:rsid w:val="00D50E07"/>
    <w:rsid w:val="00D53E05"/>
    <w:rsid w:val="00D5752B"/>
    <w:rsid w:val="00D57F61"/>
    <w:rsid w:val="00D62238"/>
    <w:rsid w:val="00D63500"/>
    <w:rsid w:val="00D7034E"/>
    <w:rsid w:val="00D7720B"/>
    <w:rsid w:val="00D801AD"/>
    <w:rsid w:val="00D957BC"/>
    <w:rsid w:val="00D97D55"/>
    <w:rsid w:val="00DA4BC4"/>
    <w:rsid w:val="00DA7081"/>
    <w:rsid w:val="00DB4CE1"/>
    <w:rsid w:val="00DB63A2"/>
    <w:rsid w:val="00DC1AC5"/>
    <w:rsid w:val="00DD4963"/>
    <w:rsid w:val="00DD5816"/>
    <w:rsid w:val="00DD7DBF"/>
    <w:rsid w:val="00DE1230"/>
    <w:rsid w:val="00DE6F40"/>
    <w:rsid w:val="00DF2624"/>
    <w:rsid w:val="00DF7A42"/>
    <w:rsid w:val="00E043B6"/>
    <w:rsid w:val="00E12324"/>
    <w:rsid w:val="00E141EB"/>
    <w:rsid w:val="00E15241"/>
    <w:rsid w:val="00E20137"/>
    <w:rsid w:val="00E2113D"/>
    <w:rsid w:val="00E21298"/>
    <w:rsid w:val="00E2218F"/>
    <w:rsid w:val="00E254AC"/>
    <w:rsid w:val="00E31368"/>
    <w:rsid w:val="00E32595"/>
    <w:rsid w:val="00E42F8D"/>
    <w:rsid w:val="00E527C3"/>
    <w:rsid w:val="00E52BF4"/>
    <w:rsid w:val="00E534DC"/>
    <w:rsid w:val="00E5460E"/>
    <w:rsid w:val="00E605A7"/>
    <w:rsid w:val="00E60FED"/>
    <w:rsid w:val="00E6198A"/>
    <w:rsid w:val="00E65B36"/>
    <w:rsid w:val="00E71C7F"/>
    <w:rsid w:val="00E7239C"/>
    <w:rsid w:val="00E73DE8"/>
    <w:rsid w:val="00E80335"/>
    <w:rsid w:val="00E84BE1"/>
    <w:rsid w:val="00EA1572"/>
    <w:rsid w:val="00EA1D9F"/>
    <w:rsid w:val="00EA2A93"/>
    <w:rsid w:val="00EA2EB3"/>
    <w:rsid w:val="00EA410E"/>
    <w:rsid w:val="00EA63BB"/>
    <w:rsid w:val="00EB28C6"/>
    <w:rsid w:val="00EC5F12"/>
    <w:rsid w:val="00EE07EC"/>
    <w:rsid w:val="00EE24AB"/>
    <w:rsid w:val="00EE5A3C"/>
    <w:rsid w:val="00EE6365"/>
    <w:rsid w:val="00EF3F9B"/>
    <w:rsid w:val="00EF4BEF"/>
    <w:rsid w:val="00EF6518"/>
    <w:rsid w:val="00EF699A"/>
    <w:rsid w:val="00F0232B"/>
    <w:rsid w:val="00F07CCB"/>
    <w:rsid w:val="00F132F1"/>
    <w:rsid w:val="00F15CA7"/>
    <w:rsid w:val="00F17702"/>
    <w:rsid w:val="00F240CA"/>
    <w:rsid w:val="00F36C81"/>
    <w:rsid w:val="00F41458"/>
    <w:rsid w:val="00F4268F"/>
    <w:rsid w:val="00F473C6"/>
    <w:rsid w:val="00F50EC5"/>
    <w:rsid w:val="00F71247"/>
    <w:rsid w:val="00F73305"/>
    <w:rsid w:val="00F801BC"/>
    <w:rsid w:val="00F8313C"/>
    <w:rsid w:val="00F917DA"/>
    <w:rsid w:val="00F97D11"/>
    <w:rsid w:val="00FA01FF"/>
    <w:rsid w:val="00FA3536"/>
    <w:rsid w:val="00FB090B"/>
    <w:rsid w:val="00FC4BBB"/>
    <w:rsid w:val="00FC514B"/>
    <w:rsid w:val="00FD2CBD"/>
    <w:rsid w:val="00FD44C6"/>
    <w:rsid w:val="00FD4E84"/>
    <w:rsid w:val="00FE10D9"/>
    <w:rsid w:val="00FE5198"/>
    <w:rsid w:val="00FF1832"/>
    <w:rsid w:val="00FF2394"/>
    <w:rsid w:val="00FF3113"/>
    <w:rsid w:val="00FF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2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ni">
    <w:name w:val="Rani"/>
    <w:basedOn w:val="NoSpacing"/>
    <w:link w:val="RaniChar"/>
    <w:autoRedefine/>
    <w:uiPriority w:val="99"/>
    <w:rsid w:val="00FF1832"/>
    <w:rPr>
      <w:rFonts w:ascii="Times New Roman" w:hAnsi="Times New Roman" w:cs="Times New Roman"/>
      <w:sz w:val="24"/>
      <w:szCs w:val="24"/>
    </w:rPr>
  </w:style>
  <w:style w:type="character" w:customStyle="1" w:styleId="RaniChar">
    <w:name w:val="Rani Char"/>
    <w:basedOn w:val="DefaultParagraphFont"/>
    <w:link w:val="Rani"/>
    <w:uiPriority w:val="99"/>
    <w:locked/>
    <w:rsid w:val="00FF1832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FD44C6"/>
    <w:rPr>
      <w:rFonts w:cs="Calibri"/>
      <w:lang w:eastAsia="en-US"/>
    </w:rPr>
  </w:style>
  <w:style w:type="paragraph" w:customStyle="1" w:styleId="Noformat">
    <w:name w:val="No format"/>
    <w:basedOn w:val="NoSpacing"/>
    <w:link w:val="NoformatChar"/>
    <w:uiPriority w:val="99"/>
    <w:rsid w:val="007C407C"/>
    <w:rPr>
      <w:rFonts w:ascii="Times New Roman" w:hAnsi="Times New Roman" w:cs="Times New Roman"/>
      <w:sz w:val="24"/>
      <w:szCs w:val="24"/>
    </w:rPr>
  </w:style>
  <w:style w:type="character" w:customStyle="1" w:styleId="NoformatChar">
    <w:name w:val="No format Char"/>
    <w:basedOn w:val="DefaultParagraphFont"/>
    <w:link w:val="Noformat"/>
    <w:uiPriority w:val="99"/>
    <w:locked/>
    <w:rsid w:val="007C407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1712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12ED"/>
    <w:rPr>
      <w:rFonts w:ascii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semiHidden/>
    <w:rsid w:val="001712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12ED"/>
    <w:rPr>
      <w:rFonts w:ascii="Times New Roman" w:hAnsi="Times New Roman" w:cs="Times New Roman"/>
      <w:sz w:val="24"/>
      <w:szCs w:val="24"/>
      <w:lang/>
    </w:rPr>
  </w:style>
  <w:style w:type="character" w:styleId="PageNumber">
    <w:name w:val="page number"/>
    <w:basedOn w:val="DefaultParagraphFont"/>
    <w:uiPriority w:val="99"/>
    <w:semiHidden/>
    <w:rsid w:val="001712ED"/>
  </w:style>
  <w:style w:type="paragraph" w:styleId="NormalWeb">
    <w:name w:val="Normal (Web)"/>
    <w:basedOn w:val="Normal"/>
    <w:link w:val="NormalWebChar"/>
    <w:uiPriority w:val="99"/>
    <w:rsid w:val="001712ED"/>
    <w:rPr>
      <w:rFonts w:eastAsia="Calibri"/>
    </w:rPr>
  </w:style>
  <w:style w:type="character" w:styleId="Hyperlink">
    <w:name w:val="Hyperlink"/>
    <w:aliases w:val="Zápatí Char1"/>
    <w:basedOn w:val="DefaultParagraphFont"/>
    <w:uiPriority w:val="99"/>
    <w:rsid w:val="001712ED"/>
    <w:rPr>
      <w:color w:val="0000FF"/>
      <w:u w:val="single"/>
    </w:rPr>
  </w:style>
  <w:style w:type="paragraph" w:styleId="ListParagraph">
    <w:name w:val="List Paragraph"/>
    <w:aliases w:val="numbered,Paragraphe de liste1,Bullet List,FooterText,Colorful List - Accent 11,List Paragraph1,Bulletr List Paragraph,列出段落,列出段落1,List Paragraph2,List Paragraph21,Párrafo de lista1,Parágrafo da Lista1,リスト段落1,Listeafsnit1,Bullet list"/>
    <w:basedOn w:val="Normal"/>
    <w:link w:val="ListParagraphChar"/>
    <w:uiPriority w:val="99"/>
    <w:qFormat/>
    <w:rsid w:val="001712ED"/>
    <w:pPr>
      <w:ind w:leftChars="400" w:left="800"/>
    </w:pPr>
    <w:rPr>
      <w:lang w:eastAsia="ko-KR"/>
    </w:rPr>
  </w:style>
  <w:style w:type="character" w:customStyle="1" w:styleId="ListParagraphChar">
    <w:name w:val="List Paragraph Char"/>
    <w:aliases w:val="numbered Char,Paragraphe de liste1 Char,Bullet List Char,FooterText Char,Colorful List - Accent 11 Char,List Paragraph1 Char,Bulletr List Paragraph Char,列出段落 Char,列出段落1 Char,List Paragraph2 Char,List Paragraph21 Char,リスト段落1 Char"/>
    <w:link w:val="ListParagraph"/>
    <w:uiPriority w:val="99"/>
    <w:locked/>
    <w:rsid w:val="001712ED"/>
    <w:rPr>
      <w:rFonts w:ascii="Times New Roman" w:hAnsi="Times New Roman" w:cs="Times New Roman"/>
      <w:sz w:val="24"/>
      <w:szCs w:val="24"/>
      <w:lang w:eastAsia="ko-KR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1712ED"/>
    <w:rPr>
      <w:rFonts w:ascii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uiPriority w:val="99"/>
    <w:rsid w:val="001712ED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1712ED"/>
    <w:rPr>
      <w:rFonts w:ascii="Calibri" w:eastAsia="Batang" w:hAnsi="Calibri" w:cs="Calibri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712ED"/>
    <w:rPr>
      <w:rFonts w:eastAsia="Batang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rsid w:val="001712E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D44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606BA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4606B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FD44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44C6"/>
    <w:rPr>
      <w:rFonts w:ascii="Segoe UI" w:hAnsi="Segoe UI" w:cs="Segoe UI"/>
      <w:sz w:val="18"/>
      <w:szCs w:val="18"/>
      <w:lang w:eastAsia="cs-CZ"/>
    </w:rPr>
  </w:style>
  <w:style w:type="paragraph" w:customStyle="1" w:styleId="p4">
    <w:name w:val="p4"/>
    <w:basedOn w:val="Normal"/>
    <w:uiPriority w:val="99"/>
    <w:rsid w:val="00FD44C6"/>
    <w:pPr>
      <w:spacing w:before="100" w:beforeAutospacing="1" w:after="100" w:afterAutospacing="1"/>
    </w:pPr>
    <w:rPr>
      <w:rFonts w:eastAsia="Calibri"/>
      <w:lang w:eastAsia="en-US"/>
    </w:rPr>
  </w:style>
  <w:style w:type="character" w:customStyle="1" w:styleId="Nevyeenzmnka1">
    <w:name w:val="Nevyřešená zmínka1"/>
    <w:basedOn w:val="DefaultParagraphFont"/>
    <w:uiPriority w:val="99"/>
    <w:semiHidden/>
    <w:rsid w:val="00FD44C6"/>
    <w:rPr>
      <w:color w:val="808080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rsid w:val="00FD44C6"/>
    <w:rPr>
      <w:color w:val="auto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D4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D44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D44C6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D4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D44C6"/>
    <w:rPr>
      <w:b/>
      <w:bCs/>
    </w:rPr>
  </w:style>
  <w:style w:type="character" w:customStyle="1" w:styleId="Nevyeenzmnka2">
    <w:name w:val="Nevyřešená zmínka2"/>
    <w:basedOn w:val="DefaultParagraphFont"/>
    <w:uiPriority w:val="99"/>
    <w:semiHidden/>
    <w:rsid w:val="00FD44C6"/>
    <w:rPr>
      <w:color w:val="auto"/>
      <w:shd w:val="clear" w:color="auto" w:fill="auto"/>
    </w:rPr>
  </w:style>
  <w:style w:type="character" w:customStyle="1" w:styleId="Nevyeenzmnka3">
    <w:name w:val="Nevyřešená zmínka3"/>
    <w:basedOn w:val="DefaultParagraphFont"/>
    <w:uiPriority w:val="99"/>
    <w:semiHidden/>
    <w:rsid w:val="00FD44C6"/>
    <w:rPr>
      <w:color w:val="auto"/>
      <w:shd w:val="clear" w:color="auto" w:fill="auto"/>
    </w:rPr>
  </w:style>
  <w:style w:type="character" w:customStyle="1" w:styleId="hps">
    <w:name w:val="hps"/>
    <w:basedOn w:val="DefaultParagraphFont"/>
    <w:uiPriority w:val="99"/>
    <w:rsid w:val="00FD44C6"/>
  </w:style>
  <w:style w:type="character" w:customStyle="1" w:styleId="Nevyeenzmnka4">
    <w:name w:val="Nevyřešená zmínka4"/>
    <w:basedOn w:val="DefaultParagraphFont"/>
    <w:uiPriority w:val="99"/>
    <w:semiHidden/>
    <w:rsid w:val="00FD44C6"/>
    <w:rPr>
      <w:color w:val="auto"/>
      <w:shd w:val="clear" w:color="auto" w:fill="auto"/>
    </w:rPr>
  </w:style>
  <w:style w:type="character" w:customStyle="1" w:styleId="UnresolvedMention">
    <w:name w:val="Unresolved Mention"/>
    <w:basedOn w:val="DefaultParagraphFont"/>
    <w:uiPriority w:val="99"/>
    <w:semiHidden/>
    <w:rsid w:val="00FD44C6"/>
    <w:rPr>
      <w:color w:val="auto"/>
      <w:shd w:val="clear" w:color="auto" w:fill="auto"/>
    </w:rPr>
  </w:style>
  <w:style w:type="paragraph" w:styleId="Revision">
    <w:name w:val="Revision"/>
    <w:hidden/>
    <w:uiPriority w:val="99"/>
    <w:semiHidden/>
    <w:rsid w:val="00FD44C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90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664</Words>
  <Characters>3919</Characters>
  <Application>Microsoft Office Outlook</Application>
  <DocSecurity>0</DocSecurity>
  <Lines>0</Lines>
  <Paragraphs>0</Paragraphs>
  <ScaleCrop>false</ScaleCrop>
  <Company>ing. Bohumil Herwig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specifikace: Galaxy S23 a Galaxy S23+</dc:title>
  <dc:subject/>
  <dc:creator>rani tolimat</dc:creator>
  <cp:keywords/>
  <dc:description/>
  <cp:lastModifiedBy>Bohumil Herwig</cp:lastModifiedBy>
  <cp:revision>2</cp:revision>
  <dcterms:created xsi:type="dcterms:W3CDTF">2023-02-02T10:16:00Z</dcterms:created>
  <dcterms:modified xsi:type="dcterms:W3CDTF">2023-02-02T10:16:00Z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